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B" w:rsidRPr="00013529" w:rsidRDefault="00F64FBB" w:rsidP="003D6FC7">
      <w:pPr>
        <w:pStyle w:val="Web"/>
        <w:shd w:val="clear" w:color="auto" w:fill="FFFFFF"/>
        <w:jc w:val="center"/>
        <w:rPr>
          <w:rStyle w:val="a3"/>
          <w:rFonts w:ascii="標楷體" w:eastAsia="標楷體" w:hAnsi="標楷體" w:cs="新細明體"/>
          <w:color w:val="000000"/>
          <w:sz w:val="28"/>
          <w:szCs w:val="28"/>
        </w:rPr>
      </w:pPr>
      <w:bookmarkStart w:id="0" w:name="_GoBack"/>
      <w:bookmarkEnd w:id="0"/>
      <w:r w:rsidRPr="00013529">
        <w:rPr>
          <w:rStyle w:val="a3"/>
          <w:rFonts w:ascii="標楷體" w:eastAsia="標楷體" w:hAnsi="標楷體" w:cs="新細明體" w:hint="eastAsia"/>
          <w:color w:val="000000"/>
          <w:sz w:val="28"/>
          <w:szCs w:val="28"/>
        </w:rPr>
        <w:t>真理大學法律學系碩士班辦理五年一貫修讀學、碩士學位作業細則</w:t>
      </w:r>
    </w:p>
    <w:p w:rsidR="00F64FBB" w:rsidRDefault="00C2006A" w:rsidP="00C2006A">
      <w:pPr>
        <w:pStyle w:val="Web"/>
        <w:shd w:val="clear" w:color="auto" w:fill="FFFFFF"/>
        <w:tabs>
          <w:tab w:val="left" w:pos="5190"/>
          <w:tab w:val="right" w:pos="8306"/>
        </w:tabs>
        <w:snapToGrid w:val="0"/>
        <w:spacing w:before="0" w:after="0" w:line="240" w:lineRule="atLeas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/>
          <w:color w:val="000000"/>
          <w:sz w:val="16"/>
          <w:szCs w:val="16"/>
        </w:rPr>
        <w:tab/>
      </w:r>
      <w:r>
        <w:rPr>
          <w:rFonts w:ascii="標楷體" w:eastAsia="標楷體" w:hAnsi="標楷體"/>
          <w:color w:val="000000"/>
          <w:sz w:val="16"/>
          <w:szCs w:val="16"/>
        </w:rPr>
        <w:tab/>
      </w:r>
      <w:r w:rsidR="00F64FBB" w:rsidRPr="00013529">
        <w:rPr>
          <w:rFonts w:ascii="標楷體" w:eastAsia="標楷體" w:hAnsi="標楷體" w:hint="eastAsia"/>
          <w:color w:val="000000"/>
          <w:sz w:val="16"/>
          <w:szCs w:val="16"/>
        </w:rPr>
        <w:t>中華民國</w:t>
      </w:r>
      <w:r w:rsidR="00F64FBB" w:rsidRPr="00013529">
        <w:rPr>
          <w:rFonts w:ascii="標楷體" w:eastAsia="標楷體" w:hAnsi="標楷體"/>
          <w:color w:val="000000"/>
          <w:sz w:val="16"/>
          <w:szCs w:val="16"/>
        </w:rPr>
        <w:t>104</w:t>
      </w:r>
      <w:r w:rsidR="00F64FBB" w:rsidRPr="00013529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 w:rsidR="00F64FBB" w:rsidRPr="00013529">
        <w:rPr>
          <w:rFonts w:ascii="標楷體" w:eastAsia="標楷體" w:hAnsi="標楷體"/>
          <w:color w:val="000000"/>
          <w:sz w:val="16"/>
          <w:szCs w:val="16"/>
        </w:rPr>
        <w:t>04</w:t>
      </w:r>
      <w:r w:rsidR="00F64FBB" w:rsidRPr="00013529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AA229C">
        <w:rPr>
          <w:rFonts w:ascii="標楷體" w:eastAsia="標楷體" w:hAnsi="標楷體" w:hint="eastAsia"/>
          <w:color w:val="000000"/>
          <w:sz w:val="16"/>
          <w:szCs w:val="16"/>
        </w:rPr>
        <w:t>29</w:t>
      </w:r>
      <w:r w:rsidR="00F64FBB" w:rsidRPr="00013529">
        <w:rPr>
          <w:rFonts w:ascii="標楷體" w:eastAsia="標楷體" w:hAnsi="標楷體" w:hint="eastAsia"/>
          <w:color w:val="000000"/>
          <w:sz w:val="16"/>
          <w:szCs w:val="16"/>
        </w:rPr>
        <w:t>日系務會議通過</w:t>
      </w:r>
    </w:p>
    <w:p w:rsidR="00C2006A" w:rsidRPr="00013529" w:rsidRDefault="00C2006A" w:rsidP="00C2006A">
      <w:pPr>
        <w:pStyle w:val="Web"/>
        <w:shd w:val="clear" w:color="auto" w:fill="FFFFFF"/>
        <w:snapToGrid w:val="0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C2006A">
        <w:rPr>
          <w:rFonts w:ascii="標楷體" w:eastAsia="標楷體" w:hAnsi="標楷體" w:hint="eastAsia"/>
          <w:color w:val="000000"/>
          <w:sz w:val="16"/>
          <w:szCs w:val="16"/>
        </w:rPr>
        <w:t>中華民國104年</w:t>
      </w:r>
      <w:r>
        <w:rPr>
          <w:rFonts w:ascii="標楷體" w:eastAsia="標楷體" w:hAnsi="標楷體" w:hint="eastAsia"/>
          <w:color w:val="000000"/>
          <w:sz w:val="16"/>
          <w:szCs w:val="16"/>
        </w:rPr>
        <w:t>06</w:t>
      </w:r>
      <w:r w:rsidRPr="00C2006A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/>
          <w:sz w:val="16"/>
          <w:szCs w:val="16"/>
        </w:rPr>
        <w:t>16</w:t>
      </w:r>
      <w:r w:rsidRPr="00C2006A">
        <w:rPr>
          <w:rFonts w:ascii="標楷體" w:eastAsia="標楷體" w:hAnsi="標楷體" w:hint="eastAsia"/>
          <w:color w:val="000000"/>
          <w:sz w:val="16"/>
          <w:szCs w:val="16"/>
        </w:rPr>
        <w:t>日</w:t>
      </w:r>
      <w:r>
        <w:rPr>
          <w:rFonts w:ascii="標楷體" w:eastAsia="標楷體" w:hAnsi="標楷體" w:hint="eastAsia"/>
          <w:color w:val="000000"/>
          <w:sz w:val="16"/>
          <w:szCs w:val="16"/>
        </w:rPr>
        <w:t>院</w:t>
      </w:r>
      <w:r w:rsidRPr="00C2006A">
        <w:rPr>
          <w:rFonts w:ascii="標楷體" w:eastAsia="標楷體" w:hAnsi="標楷體" w:hint="eastAsia"/>
          <w:color w:val="000000"/>
          <w:sz w:val="16"/>
          <w:szCs w:val="16"/>
        </w:rPr>
        <w:t>務會議通過</w:t>
      </w:r>
    </w:p>
    <w:p w:rsidR="00F64FBB" w:rsidRPr="00013529" w:rsidRDefault="00F64FBB" w:rsidP="00C2006A">
      <w:pPr>
        <w:pStyle w:val="Web"/>
        <w:numPr>
          <w:ilvl w:val="0"/>
          <w:numId w:val="1"/>
        </w:numPr>
        <w:shd w:val="clear" w:color="auto" w:fill="FFFFFF"/>
        <w:spacing w:beforeLines="100" w:before="360"/>
        <w:rPr>
          <w:rFonts w:ascii="標楷體" w:eastAsia="標楷體" w:hAnsi="標楷體"/>
          <w:color w:val="000000"/>
        </w:rPr>
      </w:pPr>
      <w:r w:rsidRPr="00013529">
        <w:rPr>
          <w:rFonts w:ascii="標楷體" w:eastAsia="標楷體" w:hAnsi="標楷體" w:hint="eastAsia"/>
          <w:color w:val="000000"/>
        </w:rPr>
        <w:t>本</w:t>
      </w:r>
      <w:r w:rsidR="00870292">
        <w:rPr>
          <w:rFonts w:ascii="標楷體" w:eastAsia="標楷體" w:hAnsi="標楷體" w:hint="eastAsia"/>
          <w:color w:val="000000"/>
        </w:rPr>
        <w:t>細則</w:t>
      </w:r>
      <w:r w:rsidRPr="00013529">
        <w:rPr>
          <w:rFonts w:ascii="標楷體" w:eastAsia="標楷體" w:hAnsi="標楷體" w:hint="eastAsia"/>
          <w:color w:val="000000"/>
        </w:rPr>
        <w:t>系真理大學法律學系</w:t>
      </w:r>
      <w:r w:rsidRPr="00013529">
        <w:rPr>
          <w:rFonts w:ascii="標楷體" w:eastAsia="標楷體" w:hAnsi="標楷體"/>
          <w:color w:val="000000"/>
        </w:rPr>
        <w:t>(</w:t>
      </w:r>
      <w:r w:rsidRPr="00013529">
        <w:rPr>
          <w:rFonts w:ascii="標楷體" w:eastAsia="標楷體" w:hAnsi="標楷體" w:hint="eastAsia"/>
          <w:color w:val="000000"/>
        </w:rPr>
        <w:t>以下簡稱為本系</w:t>
      </w:r>
      <w:r w:rsidRPr="00013529">
        <w:rPr>
          <w:rFonts w:ascii="標楷體" w:eastAsia="標楷體" w:hAnsi="標楷體"/>
          <w:color w:val="000000"/>
        </w:rPr>
        <w:t>)</w:t>
      </w:r>
      <w:r w:rsidRPr="00013529">
        <w:rPr>
          <w:rFonts w:ascii="標楷體" w:eastAsia="標楷體" w:hAnsi="標楷體" w:hint="eastAsia"/>
          <w:color w:val="000000"/>
        </w:rPr>
        <w:t>依據「真理大學</w:t>
      </w:r>
      <w:r w:rsidRPr="00013529">
        <w:rPr>
          <w:rFonts w:ascii="標楷體" w:eastAsia="標楷體" w:hAnsi="標楷體"/>
          <w:color w:val="000000"/>
        </w:rPr>
        <w:t>(</w:t>
      </w:r>
      <w:r w:rsidRPr="00013529">
        <w:rPr>
          <w:rFonts w:ascii="標楷體" w:eastAsia="標楷體" w:hAnsi="標楷體" w:hint="eastAsia"/>
          <w:color w:val="000000"/>
        </w:rPr>
        <w:t>以下簡稱本校</w:t>
      </w:r>
      <w:r w:rsidRPr="00013529">
        <w:rPr>
          <w:rFonts w:ascii="標楷體" w:eastAsia="標楷體" w:hAnsi="標楷體"/>
          <w:color w:val="000000"/>
        </w:rPr>
        <w:t>)</w:t>
      </w:r>
      <w:r w:rsidRPr="00013529">
        <w:rPr>
          <w:rFonts w:ascii="標楷體" w:eastAsia="標楷體" w:hAnsi="標楷體" w:hint="eastAsia"/>
          <w:color w:val="000000"/>
        </w:rPr>
        <w:t>五年一貫修讀學、碩士學位實施要點」</w:t>
      </w:r>
      <w:r w:rsidRPr="00013529">
        <w:rPr>
          <w:rFonts w:ascii="標楷體" w:eastAsia="標楷體" w:hAnsi="標楷體"/>
          <w:color w:val="000000"/>
        </w:rPr>
        <w:t>(</w:t>
      </w:r>
      <w:r w:rsidRPr="00013529">
        <w:rPr>
          <w:rFonts w:ascii="標楷體" w:eastAsia="標楷體" w:hAnsi="標楷體" w:hint="eastAsia"/>
          <w:color w:val="000000"/>
        </w:rPr>
        <w:t>以下簡稱</w:t>
      </w:r>
      <w:r>
        <w:rPr>
          <w:rFonts w:ascii="標楷體" w:eastAsia="標楷體" w:hAnsi="標楷體" w:hint="eastAsia"/>
          <w:color w:val="000000"/>
        </w:rPr>
        <w:t>本</w:t>
      </w:r>
      <w:r w:rsidRPr="00013529">
        <w:rPr>
          <w:rFonts w:ascii="標楷體" w:eastAsia="標楷體" w:hAnsi="標楷體" w:hint="eastAsia"/>
          <w:color w:val="000000"/>
        </w:rPr>
        <w:t>要點</w:t>
      </w:r>
      <w:r w:rsidRPr="00013529">
        <w:rPr>
          <w:rFonts w:ascii="標楷體" w:eastAsia="標楷體" w:hAnsi="標楷體"/>
          <w:color w:val="000000"/>
        </w:rPr>
        <w:t>)</w:t>
      </w:r>
      <w:r w:rsidR="00870292">
        <w:rPr>
          <w:rFonts w:ascii="標楷體" w:eastAsia="標楷體" w:hAnsi="標楷體" w:hint="eastAsia"/>
          <w:color w:val="000000"/>
        </w:rPr>
        <w:t>授權訂定</w:t>
      </w:r>
      <w:r w:rsidRPr="00013529">
        <w:rPr>
          <w:rFonts w:ascii="標楷體" w:eastAsia="標楷體" w:hAnsi="標楷體" w:hint="eastAsia"/>
          <w:color w:val="000000"/>
        </w:rPr>
        <w:t>。</w:t>
      </w:r>
    </w:p>
    <w:p w:rsidR="00F64FBB" w:rsidRPr="00013529" w:rsidRDefault="00F64FBB" w:rsidP="00FF5AC0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  <w:color w:val="000000"/>
        </w:rPr>
      </w:pPr>
      <w:r w:rsidRPr="00013529">
        <w:rPr>
          <w:rFonts w:ascii="標楷體" w:eastAsia="標楷體" w:hAnsi="標楷體" w:hint="eastAsia"/>
          <w:color w:val="000000"/>
        </w:rPr>
        <w:t>依本</w:t>
      </w:r>
      <w:r>
        <w:rPr>
          <w:rFonts w:ascii="標楷體" w:eastAsia="標楷體" w:hAnsi="標楷體" w:hint="eastAsia"/>
          <w:color w:val="000000"/>
        </w:rPr>
        <w:t>要點</w:t>
      </w:r>
      <w:r w:rsidRPr="00013529">
        <w:rPr>
          <w:rFonts w:ascii="標楷體" w:eastAsia="標楷體" w:hAnsi="標楷體" w:hint="eastAsia"/>
          <w:color w:val="000000"/>
        </w:rPr>
        <w:t>錄取之學生兼具本系學士學位候選人及碩士班預備研究生（以下簡稱預研生）資格。</w:t>
      </w:r>
    </w:p>
    <w:p w:rsidR="00F64FBB" w:rsidRPr="00013529" w:rsidRDefault="00F64FBB" w:rsidP="003C0F4C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</w:rPr>
      </w:pPr>
      <w:r w:rsidRPr="00013529">
        <w:rPr>
          <w:rFonts w:ascii="標楷體" w:eastAsia="標楷體" w:hAnsi="標楷體" w:hint="eastAsia"/>
          <w:color w:val="000000"/>
        </w:rPr>
        <w:t>本系設置真理大學法律學系五年一貫修讀學、碩士</w:t>
      </w:r>
      <w:r w:rsidRPr="00FF5AC0">
        <w:rPr>
          <w:rFonts w:ascii="標楷體" w:eastAsia="標楷體" w:hAnsi="標楷體" w:hint="eastAsia"/>
          <w:color w:val="000000"/>
        </w:rPr>
        <w:t>甄</w:t>
      </w:r>
      <w:r w:rsidRPr="00013529">
        <w:rPr>
          <w:rFonts w:ascii="標楷體" w:eastAsia="標楷體" w:hAnsi="標楷體" w:hint="eastAsia"/>
          <w:color w:val="000000"/>
        </w:rPr>
        <w:t>選委員會</w:t>
      </w:r>
      <w:r w:rsidRPr="00013529">
        <w:rPr>
          <w:rFonts w:ascii="標楷體" w:eastAsia="標楷體" w:hAnsi="標楷體"/>
          <w:color w:val="000000"/>
        </w:rPr>
        <w:t>(</w:t>
      </w:r>
      <w:r w:rsidRPr="00013529">
        <w:rPr>
          <w:rFonts w:ascii="標楷體" w:eastAsia="標楷體" w:hAnsi="標楷體" w:hint="eastAsia"/>
          <w:color w:val="000000"/>
        </w:rPr>
        <w:t>以下簡稱甄選委員會</w:t>
      </w:r>
      <w:r w:rsidRPr="00013529">
        <w:rPr>
          <w:rFonts w:ascii="標楷體" w:eastAsia="標楷體" w:hAnsi="標楷體"/>
          <w:color w:val="000000"/>
        </w:rPr>
        <w:t>)</w:t>
      </w:r>
      <w:r w:rsidRPr="00013529">
        <w:rPr>
          <w:rFonts w:ascii="標楷體" w:eastAsia="標楷體" w:hAnsi="標楷體" w:hint="eastAsia"/>
          <w:color w:val="000000"/>
        </w:rPr>
        <w:t>，</w:t>
      </w:r>
      <w:r w:rsidRPr="00013529">
        <w:rPr>
          <w:rFonts w:ascii="標楷體" w:eastAsia="標楷體" w:hAnsi="標楷體" w:hint="eastAsia"/>
        </w:rPr>
        <w:t>委員由全體專任教師擔任，系主任擔任主任委員。</w:t>
      </w:r>
    </w:p>
    <w:p w:rsidR="00F64FBB" w:rsidRPr="00013529" w:rsidRDefault="00F64FBB" w:rsidP="005A0E30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</w:rPr>
      </w:pPr>
      <w:r w:rsidRPr="00013529">
        <w:rPr>
          <w:rFonts w:ascii="標楷體" w:eastAsia="標楷體" w:hAnsi="標楷體" w:hint="eastAsia"/>
        </w:rPr>
        <w:t>本系學士班學生擬適用五年一貫攻讀學、碩士學位者，得於三年級第二學期註冊前向</w:t>
      </w:r>
      <w:r w:rsidRPr="00FF5AC0">
        <w:rPr>
          <w:rFonts w:ascii="標楷體" w:eastAsia="標楷體" w:hAnsi="標楷體" w:hint="eastAsia"/>
          <w:color w:val="000000"/>
        </w:rPr>
        <w:t>甄</w:t>
      </w:r>
      <w:r w:rsidRPr="00013529">
        <w:rPr>
          <w:rFonts w:ascii="標楷體" w:eastAsia="標楷體" w:hAnsi="標楷體" w:hint="eastAsia"/>
          <w:color w:val="000000"/>
        </w:rPr>
        <w:t>選</w:t>
      </w:r>
      <w:r w:rsidRPr="00013529">
        <w:rPr>
          <w:rFonts w:ascii="標楷體" w:eastAsia="標楷體" w:hAnsi="標楷體" w:hint="eastAsia"/>
        </w:rPr>
        <w:t>委員會提出申請。</w:t>
      </w:r>
    </w:p>
    <w:p w:rsidR="00F64FBB" w:rsidRPr="00013529" w:rsidRDefault="00F64FBB" w:rsidP="00FF5AC0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</w:rPr>
      </w:pPr>
      <w:r w:rsidRPr="00013529">
        <w:rPr>
          <w:rFonts w:ascii="標楷體" w:eastAsia="標楷體" w:hAnsi="標楷體" w:hint="eastAsia"/>
        </w:rPr>
        <w:t>申請人在校學業成績總平均須達</w:t>
      </w:r>
      <w:r>
        <w:rPr>
          <w:rFonts w:ascii="標楷體" w:eastAsia="標楷體" w:hAnsi="標楷體" w:hint="eastAsia"/>
        </w:rPr>
        <w:t>七十</w:t>
      </w:r>
      <w:r w:rsidRPr="00013529">
        <w:rPr>
          <w:rFonts w:ascii="標楷體" w:eastAsia="標楷體" w:hAnsi="標楷體" w:hint="eastAsia"/>
        </w:rPr>
        <w:t>分以上或名次在全班前</w:t>
      </w:r>
      <w:r>
        <w:rPr>
          <w:rFonts w:ascii="標楷體" w:eastAsia="標楷體" w:hAnsi="標楷體" w:hint="eastAsia"/>
        </w:rPr>
        <w:t>百分之五十</w:t>
      </w:r>
      <w:r w:rsidRPr="00013529">
        <w:rPr>
          <w:rFonts w:ascii="標楷體" w:eastAsia="標楷體" w:hAnsi="標楷體" w:hint="eastAsia"/>
        </w:rPr>
        <w:t>。</w:t>
      </w:r>
    </w:p>
    <w:p w:rsidR="00F64FBB" w:rsidRPr="00013529" w:rsidRDefault="00F64FBB" w:rsidP="005A0E30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</w:rPr>
      </w:pPr>
      <w:r w:rsidRPr="00013529">
        <w:rPr>
          <w:rFonts w:ascii="標楷體" w:eastAsia="標楷體" w:hAnsi="標楷體" w:hint="eastAsia"/>
        </w:rPr>
        <w:t>申請人應提出以下書面資料</w:t>
      </w:r>
      <w:r w:rsidRPr="00013529">
        <w:rPr>
          <w:rFonts w:ascii="標楷體" w:eastAsia="標楷體" w:hAnsi="標楷體"/>
        </w:rPr>
        <w:t>:(</w:t>
      </w:r>
      <w:r w:rsidRPr="00013529">
        <w:rPr>
          <w:rFonts w:ascii="標楷體" w:eastAsia="標楷體" w:hAnsi="標楷體" w:hint="eastAsia"/>
        </w:rPr>
        <w:t>一</w:t>
      </w:r>
      <w:r w:rsidRPr="00013529">
        <w:rPr>
          <w:rFonts w:ascii="標楷體" w:eastAsia="標楷體" w:hAnsi="標楷體"/>
        </w:rPr>
        <w:t>)</w:t>
      </w:r>
      <w:r w:rsidRPr="00013529">
        <w:rPr>
          <w:rFonts w:ascii="標楷體" w:eastAsia="標楷體" w:hAnsi="標楷體" w:hint="eastAsia"/>
          <w:bCs/>
        </w:rPr>
        <w:t>真理大學法律學系五年一貫修讀學、碩士學位甄選</w:t>
      </w:r>
      <w:r w:rsidRPr="00013529">
        <w:rPr>
          <w:rFonts w:ascii="標楷體" w:eastAsia="標楷體" w:hAnsi="標楷體" w:hint="eastAsia"/>
        </w:rPr>
        <w:t>申請表。</w:t>
      </w:r>
      <w:r w:rsidRPr="00013529">
        <w:rPr>
          <w:rFonts w:ascii="標楷體" w:eastAsia="標楷體" w:hAnsi="標楷體"/>
        </w:rPr>
        <w:t>(</w:t>
      </w:r>
      <w:r w:rsidRPr="00013529">
        <w:rPr>
          <w:rFonts w:ascii="標楷體" w:eastAsia="標楷體" w:hAnsi="標楷體" w:hint="eastAsia"/>
        </w:rPr>
        <w:t>二</w:t>
      </w:r>
      <w:r w:rsidRPr="00013529">
        <w:rPr>
          <w:rFonts w:ascii="標楷體" w:eastAsia="標楷體" w:hAnsi="標楷體"/>
        </w:rPr>
        <w:t>)</w:t>
      </w:r>
      <w:r w:rsidRPr="00013529">
        <w:rPr>
          <w:rFonts w:ascii="標楷體" w:eastAsia="標楷體" w:hAnsi="標楷體" w:hint="eastAsia"/>
        </w:rPr>
        <w:t>各學期成績單及記載班級名次之在校學業成績總平均成績單。</w:t>
      </w:r>
      <w:r w:rsidR="00870292">
        <w:rPr>
          <w:rFonts w:ascii="標楷體" w:eastAsia="標楷體" w:hAnsi="標楷體" w:hint="eastAsia"/>
        </w:rPr>
        <w:t>(三)其他有助審查資料(如自傳、推薦函、讀書及研究計畫等)。</w:t>
      </w:r>
    </w:p>
    <w:p w:rsidR="00F64FBB" w:rsidRPr="00013529" w:rsidRDefault="00F64FBB" w:rsidP="00FF5AC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預</w:t>
      </w:r>
      <w:r w:rsidRPr="00013529">
        <w:rPr>
          <w:rFonts w:ascii="標楷體" w:eastAsia="標楷體" w:hAnsi="標楷體" w:hint="eastAsia"/>
          <w:szCs w:val="24"/>
        </w:rPr>
        <w:t>研生之甄選，除考量</w:t>
      </w:r>
      <w:r>
        <w:rPr>
          <w:rFonts w:ascii="標楷體" w:eastAsia="標楷體" w:hAnsi="標楷體" w:hint="eastAsia"/>
          <w:szCs w:val="24"/>
        </w:rPr>
        <w:t>申請人依上述</w:t>
      </w:r>
      <w:r w:rsidRPr="00013529">
        <w:rPr>
          <w:rFonts w:ascii="標楷體" w:eastAsia="標楷體" w:hAnsi="標楷體" w:hint="eastAsia"/>
          <w:szCs w:val="24"/>
        </w:rPr>
        <w:t>第</w:t>
      </w:r>
      <w:r w:rsidRPr="00013529">
        <w:rPr>
          <w:rFonts w:ascii="標楷體" w:eastAsia="標楷體" w:hAnsi="標楷體" w:hint="eastAsia"/>
          <w:color w:val="000000"/>
          <w:szCs w:val="24"/>
        </w:rPr>
        <w:t>六條</w:t>
      </w:r>
      <w:r>
        <w:rPr>
          <w:rFonts w:ascii="標楷體" w:eastAsia="標楷體" w:hAnsi="標楷體" w:hint="eastAsia"/>
          <w:color w:val="000000"/>
          <w:szCs w:val="24"/>
        </w:rPr>
        <w:t>提出</w:t>
      </w:r>
      <w:r w:rsidRPr="00013529">
        <w:rPr>
          <w:rFonts w:ascii="標楷體" w:eastAsia="標楷體" w:hAnsi="標楷體" w:hint="eastAsia"/>
          <w:color w:val="000000"/>
          <w:szCs w:val="24"/>
        </w:rPr>
        <w:t>之書面資料外，應綜合考量申請人在校表現、服務熱忱、學習態度、人格特質等各該情事。</w:t>
      </w:r>
    </w:p>
    <w:p w:rsidR="00F64FBB" w:rsidRPr="00013529" w:rsidRDefault="00F64FBB" w:rsidP="005A0E3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13529">
        <w:rPr>
          <w:rFonts w:ascii="標楷體" w:eastAsia="標楷體" w:hAnsi="標楷體" w:hint="eastAsia"/>
          <w:szCs w:val="24"/>
        </w:rPr>
        <w:t>主任委員於甄選申請截止日後，應將申請人之書面資料交付委員參考、評量，並召開</w:t>
      </w:r>
      <w:r w:rsidRPr="00013529">
        <w:rPr>
          <w:rFonts w:ascii="標楷體" w:eastAsia="標楷體" w:hAnsi="標楷體" w:hint="eastAsia"/>
          <w:color w:val="000000"/>
        </w:rPr>
        <w:t>甄選</w:t>
      </w:r>
      <w:r w:rsidRPr="00013529">
        <w:rPr>
          <w:rFonts w:ascii="標楷體" w:eastAsia="標楷體" w:hAnsi="標楷體" w:hint="eastAsia"/>
          <w:szCs w:val="24"/>
        </w:rPr>
        <w:t>委員會議決定錄取之學生。</w:t>
      </w:r>
    </w:p>
    <w:p w:rsidR="00F64FBB" w:rsidRPr="00013529" w:rsidRDefault="00F64FBB" w:rsidP="00AA229C">
      <w:pPr>
        <w:pStyle w:val="a4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013529">
        <w:rPr>
          <w:rFonts w:ascii="標楷體" w:eastAsia="標楷體" w:hAnsi="標楷體" w:hint="eastAsia"/>
          <w:szCs w:val="24"/>
        </w:rPr>
        <w:t>預研生每年錄取若干名。</w:t>
      </w:r>
    </w:p>
    <w:p w:rsidR="00F64FBB" w:rsidRPr="00013529" w:rsidRDefault="00F64FBB" w:rsidP="00FF5AC0">
      <w:pPr>
        <w:pStyle w:val="Web"/>
        <w:numPr>
          <w:ilvl w:val="0"/>
          <w:numId w:val="1"/>
        </w:numPr>
        <w:shd w:val="clear" w:color="auto" w:fill="FFFFFF"/>
        <w:rPr>
          <w:rFonts w:ascii="標楷體" w:eastAsia="標楷體" w:hAnsi="標楷體"/>
          <w:color w:val="000000"/>
        </w:rPr>
      </w:pPr>
      <w:r w:rsidRPr="00013529">
        <w:rPr>
          <w:rFonts w:ascii="標楷體" w:eastAsia="標楷體" w:hAnsi="標楷體" w:hint="eastAsia"/>
          <w:color w:val="000000"/>
        </w:rPr>
        <w:t>經甄選</w:t>
      </w:r>
      <w:r>
        <w:rPr>
          <w:rFonts w:ascii="標楷體" w:eastAsia="標楷體" w:hAnsi="標楷體" w:hint="eastAsia"/>
          <w:color w:val="000000"/>
        </w:rPr>
        <w:t>錄取</w:t>
      </w:r>
      <w:r w:rsidRPr="00013529">
        <w:rPr>
          <w:rFonts w:ascii="標楷體" w:eastAsia="標楷體" w:hAnsi="標楷體" w:hint="eastAsia"/>
          <w:color w:val="000000"/>
        </w:rPr>
        <w:t>之預研生應修習本系</w:t>
      </w:r>
      <w:r>
        <w:rPr>
          <w:rFonts w:ascii="標楷體" w:eastAsia="標楷體" w:hAnsi="標楷體" w:hint="eastAsia"/>
          <w:color w:val="000000"/>
        </w:rPr>
        <w:t>碩士班</w:t>
      </w:r>
      <w:r w:rsidRPr="00013529">
        <w:rPr>
          <w:rFonts w:ascii="標楷體" w:eastAsia="標楷體" w:hAnsi="標楷體" w:hint="eastAsia"/>
          <w:color w:val="000000"/>
        </w:rPr>
        <w:t>之課程，每學期不得</w:t>
      </w:r>
      <w:r>
        <w:rPr>
          <w:rFonts w:ascii="標楷體" w:eastAsia="標楷體" w:hAnsi="標楷體" w:hint="eastAsia"/>
          <w:color w:val="000000"/>
        </w:rPr>
        <w:t>少</w:t>
      </w:r>
      <w:r w:rsidRPr="00013529">
        <w:rPr>
          <w:rFonts w:ascii="標楷體" w:eastAsia="標楷體" w:hAnsi="標楷體" w:hint="eastAsia"/>
          <w:color w:val="000000"/>
        </w:rPr>
        <w:t>於</w:t>
      </w:r>
      <w:r w:rsidRPr="00013529">
        <w:rPr>
          <w:rFonts w:ascii="標楷體" w:eastAsia="標楷體" w:hAnsi="標楷體" w:hint="eastAsia"/>
        </w:rPr>
        <w:t>四</w:t>
      </w:r>
      <w:r w:rsidRPr="00013529">
        <w:rPr>
          <w:rFonts w:ascii="標楷體" w:eastAsia="標楷體" w:hAnsi="標楷體" w:hint="eastAsia"/>
          <w:color w:val="000000"/>
        </w:rPr>
        <w:t>學分。</w:t>
      </w:r>
    </w:p>
    <w:p w:rsidR="00F64FBB" w:rsidRPr="00013529" w:rsidRDefault="00870292" w:rsidP="00870292">
      <w:pPr>
        <w:pStyle w:val="Web"/>
        <w:shd w:val="clear" w:color="auto" w:fill="FFFFFF"/>
        <w:ind w:left="708" w:hangingChars="295" w:hanging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</w:t>
      </w:r>
      <w:r w:rsidR="00F64FBB" w:rsidRPr="00013529">
        <w:rPr>
          <w:rFonts w:ascii="標楷體" w:eastAsia="標楷體" w:hAnsi="標楷體" w:hint="eastAsia"/>
          <w:color w:val="000000"/>
        </w:rPr>
        <w:t>為因應本</w:t>
      </w:r>
      <w:r w:rsidR="00F64FBB">
        <w:rPr>
          <w:rFonts w:ascii="標楷體" w:eastAsia="標楷體" w:hAnsi="標楷體" w:hint="eastAsia"/>
          <w:color w:val="000000"/>
        </w:rPr>
        <w:t>系碩士班</w:t>
      </w:r>
      <w:r w:rsidR="00F64FBB" w:rsidRPr="00013529">
        <w:rPr>
          <w:rFonts w:ascii="標楷體" w:eastAsia="標楷體" w:hAnsi="標楷體" w:hint="eastAsia"/>
          <w:color w:val="000000"/>
        </w:rPr>
        <w:t>第</w:t>
      </w:r>
      <w:r w:rsidR="00F64FBB" w:rsidRPr="00013529">
        <w:rPr>
          <w:rFonts w:ascii="標楷體" w:eastAsia="標楷體" w:hAnsi="標楷體"/>
          <w:color w:val="000000"/>
        </w:rPr>
        <w:t>104</w:t>
      </w:r>
      <w:r w:rsidR="00F64FBB" w:rsidRPr="00013529">
        <w:rPr>
          <w:rFonts w:ascii="標楷體" w:eastAsia="標楷體" w:hAnsi="標楷體" w:hint="eastAsia"/>
          <w:color w:val="000000"/>
        </w:rPr>
        <w:t>學年度第一屆招生，本系學士班學生擬於</w:t>
      </w:r>
      <w:r w:rsidR="00F64FBB" w:rsidRPr="00013529">
        <w:rPr>
          <w:rFonts w:ascii="標楷體" w:eastAsia="標楷體" w:hAnsi="標楷體"/>
          <w:color w:val="000000"/>
        </w:rPr>
        <w:t>104</w:t>
      </w:r>
      <w:r w:rsidR="00F64FBB" w:rsidRPr="00013529">
        <w:rPr>
          <w:rFonts w:ascii="標楷體" w:eastAsia="標楷體" w:hAnsi="標楷體" w:hint="eastAsia"/>
          <w:color w:val="000000"/>
        </w:rPr>
        <w:t>學年度適用五年一貫修讀學、碩士學位者，得於四年級第一學期註冊前向</w:t>
      </w:r>
      <w:r w:rsidR="00F64FBB" w:rsidRPr="00FF5AC0">
        <w:rPr>
          <w:rFonts w:ascii="標楷體" w:eastAsia="標楷體" w:hAnsi="標楷體" w:hint="eastAsia"/>
          <w:color w:val="000000"/>
        </w:rPr>
        <w:t>甄</w:t>
      </w:r>
      <w:r w:rsidR="00F64FBB" w:rsidRPr="00013529">
        <w:rPr>
          <w:rFonts w:ascii="標楷體" w:eastAsia="標楷體" w:hAnsi="標楷體" w:hint="eastAsia"/>
          <w:color w:val="000000"/>
        </w:rPr>
        <w:t>選</w:t>
      </w:r>
      <w:r w:rsidR="00F64FBB" w:rsidRPr="00013529">
        <w:rPr>
          <w:rFonts w:ascii="標楷體" w:eastAsia="標楷體" w:hAnsi="標楷體" w:hint="eastAsia"/>
        </w:rPr>
        <w:t>委員會</w:t>
      </w:r>
      <w:r w:rsidR="00F64FBB" w:rsidRPr="00013529">
        <w:rPr>
          <w:rFonts w:ascii="標楷體" w:eastAsia="標楷體" w:hAnsi="標楷體" w:hint="eastAsia"/>
          <w:color w:val="000000"/>
        </w:rPr>
        <w:t>提出申請，不受</w:t>
      </w:r>
      <w:r w:rsidR="00F64FBB">
        <w:rPr>
          <w:rFonts w:ascii="標楷體" w:eastAsia="標楷體" w:hAnsi="標楷體" w:hint="eastAsia"/>
          <w:color w:val="000000"/>
        </w:rPr>
        <w:t>上述</w:t>
      </w:r>
      <w:r w:rsidR="00F64FBB" w:rsidRPr="00013529">
        <w:rPr>
          <w:rFonts w:ascii="標楷體" w:eastAsia="標楷體" w:hAnsi="標楷體" w:hint="eastAsia"/>
          <w:color w:val="000000"/>
        </w:rPr>
        <w:t>第四條</w:t>
      </w:r>
      <w:r w:rsidR="00F64FBB">
        <w:rPr>
          <w:rFonts w:ascii="標楷體" w:eastAsia="標楷體" w:hAnsi="標楷體" w:hint="eastAsia"/>
          <w:color w:val="000000"/>
        </w:rPr>
        <w:t>之限制</w:t>
      </w:r>
      <w:r w:rsidR="00F64FBB" w:rsidRPr="00013529">
        <w:rPr>
          <w:rFonts w:ascii="標楷體" w:eastAsia="標楷體" w:hAnsi="標楷體" w:hint="eastAsia"/>
          <w:color w:val="000000"/>
        </w:rPr>
        <w:t>。</w:t>
      </w:r>
    </w:p>
    <w:p w:rsidR="00F64FBB" w:rsidRPr="00013529" w:rsidRDefault="00870292" w:rsidP="00870292">
      <w:pPr>
        <w:pStyle w:val="Web"/>
        <w:shd w:val="clear" w:color="auto" w:fill="FFFFFF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十二、本系則未盡事項，依本校相關規定處理。</w:t>
      </w:r>
    </w:p>
    <w:p w:rsidR="00F64FBB" w:rsidRPr="005D085F" w:rsidRDefault="00F64FBB">
      <w:pPr>
        <w:rPr>
          <w:rFonts w:ascii="新細明體"/>
          <w:color w:val="000000"/>
          <w:szCs w:val="24"/>
        </w:rPr>
      </w:pPr>
    </w:p>
    <w:sectPr w:rsidR="00F64FBB" w:rsidRPr="005D085F" w:rsidSect="003B6A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40" w:rsidRDefault="004D2340" w:rsidP="00013529">
      <w:r>
        <w:separator/>
      </w:r>
    </w:p>
  </w:endnote>
  <w:endnote w:type="continuationSeparator" w:id="0">
    <w:p w:rsidR="004D2340" w:rsidRDefault="004D2340" w:rsidP="000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40" w:rsidRDefault="004D2340" w:rsidP="00013529">
      <w:r>
        <w:separator/>
      </w:r>
    </w:p>
  </w:footnote>
  <w:footnote w:type="continuationSeparator" w:id="0">
    <w:p w:rsidR="004D2340" w:rsidRDefault="004D2340" w:rsidP="0001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7518"/>
    <w:multiLevelType w:val="hybridMultilevel"/>
    <w:tmpl w:val="470021C4"/>
    <w:lvl w:ilvl="0" w:tplc="17A43A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780"/>
    <w:rsid w:val="00007F26"/>
    <w:rsid w:val="00013529"/>
    <w:rsid w:val="00024A0C"/>
    <w:rsid w:val="000E15D2"/>
    <w:rsid w:val="001049D9"/>
    <w:rsid w:val="00132186"/>
    <w:rsid w:val="001B13B1"/>
    <w:rsid w:val="001E7BDB"/>
    <w:rsid w:val="00275E41"/>
    <w:rsid w:val="003662BA"/>
    <w:rsid w:val="003B6AB0"/>
    <w:rsid w:val="003C0F4C"/>
    <w:rsid w:val="003D6FC7"/>
    <w:rsid w:val="004136ED"/>
    <w:rsid w:val="004D2340"/>
    <w:rsid w:val="00531B5B"/>
    <w:rsid w:val="005841CB"/>
    <w:rsid w:val="005A0E30"/>
    <w:rsid w:val="005D085F"/>
    <w:rsid w:val="005E3C19"/>
    <w:rsid w:val="00626780"/>
    <w:rsid w:val="00661783"/>
    <w:rsid w:val="007A7AA2"/>
    <w:rsid w:val="007B4C6A"/>
    <w:rsid w:val="00827D31"/>
    <w:rsid w:val="00862E9D"/>
    <w:rsid w:val="00870292"/>
    <w:rsid w:val="00882E2F"/>
    <w:rsid w:val="00946D48"/>
    <w:rsid w:val="00952A04"/>
    <w:rsid w:val="009F533A"/>
    <w:rsid w:val="00AA229C"/>
    <w:rsid w:val="00AA5FC0"/>
    <w:rsid w:val="00AA7711"/>
    <w:rsid w:val="00B159D5"/>
    <w:rsid w:val="00B262FA"/>
    <w:rsid w:val="00BA2D6B"/>
    <w:rsid w:val="00C2006A"/>
    <w:rsid w:val="00CE6A48"/>
    <w:rsid w:val="00D25B93"/>
    <w:rsid w:val="00D568CA"/>
    <w:rsid w:val="00D81C71"/>
    <w:rsid w:val="00D8782A"/>
    <w:rsid w:val="00ED77EB"/>
    <w:rsid w:val="00ED7D09"/>
    <w:rsid w:val="00F64FB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77E6E0-245E-40B0-A942-396B63A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3D6FC7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99"/>
    <w:qFormat/>
    <w:rsid w:val="003D6FC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136ED"/>
    <w:pPr>
      <w:ind w:leftChars="200" w:left="480"/>
    </w:pPr>
  </w:style>
  <w:style w:type="table" w:styleId="a5">
    <w:name w:val="Table Grid"/>
    <w:basedOn w:val="a1"/>
    <w:uiPriority w:val="99"/>
    <w:rsid w:val="00D2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1352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135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57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57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57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7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57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7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7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BED5E6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BED5E6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57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AUMIS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真理大學法律學系碩士班辦理五年一貫修讀學、碩士學位作業細則</dc:title>
  <dc:creator>真理大學</dc:creator>
  <cp:lastModifiedBy>AU</cp:lastModifiedBy>
  <cp:revision>2</cp:revision>
  <dcterms:created xsi:type="dcterms:W3CDTF">2017-05-17T08:50:00Z</dcterms:created>
  <dcterms:modified xsi:type="dcterms:W3CDTF">2017-05-17T08:50:00Z</dcterms:modified>
</cp:coreProperties>
</file>